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62CC" w:rsidRPr="00FA0873" w:rsidRDefault="001462CC" w:rsidP="001462CC">
      <w:pPr>
        <w:pStyle w:val="CRCoverPage"/>
        <w:tabs>
          <w:tab w:val="left" w:pos="8222"/>
          <w:tab w:val="right" w:pos="8640"/>
        </w:tabs>
        <w:ind w:right="1260"/>
        <w:rPr>
          <w:rFonts w:ascii="Times New Roman" w:hAnsi="Times New Roman"/>
          <w:b/>
          <w:sz w:val="24"/>
          <w:lang w:val="en-US"/>
        </w:rPr>
      </w:pPr>
      <w:r w:rsidRPr="00FA0873">
        <w:rPr>
          <w:rFonts w:ascii="Times New Roman" w:hAnsi="Times New Roman"/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1" layoutInCell="1" hidden="1" allowOverlap="1" wp14:anchorId="7479F8F6" wp14:editId="0650F234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1" name="AutoShape 3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C02307D" id="AutoShape 3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9264;visibility:hidden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Pr="00FA0873">
        <w:rPr>
          <w:rFonts w:ascii="Times New Roman" w:hAnsi="Times New Roman"/>
          <w:b/>
          <w:sz w:val="24"/>
        </w:rPr>
        <w:t>3GPP T</w:t>
      </w:r>
      <w:r w:rsidRPr="00FA0873">
        <w:rPr>
          <w:rFonts w:ascii="Times New Roman" w:hAnsi="Times New Roman"/>
          <w:b/>
          <w:sz w:val="24"/>
          <w:szCs w:val="24"/>
        </w:rPr>
        <w:t>SG-RAN</w:t>
      </w:r>
      <w:r w:rsidRPr="00FA0873">
        <w:rPr>
          <w:rFonts w:ascii="Times New Roman" w:hAnsi="Times New Roman"/>
        </w:rPr>
        <w:t xml:space="preserve"> </w:t>
      </w:r>
      <w:r w:rsidRPr="00FA0873">
        <w:rPr>
          <w:rFonts w:ascii="Times New Roman" w:hAnsi="Times New Roman"/>
          <w:b/>
          <w:sz w:val="24"/>
        </w:rPr>
        <w:t>WG1 Meeting#10</w:t>
      </w:r>
      <w:r w:rsidR="009E70B9">
        <w:rPr>
          <w:rFonts w:ascii="Times New Roman" w:hAnsi="Times New Roman"/>
          <w:b/>
          <w:sz w:val="24"/>
        </w:rPr>
        <w:t>8</w:t>
      </w:r>
      <w:r w:rsidRPr="00FA0873">
        <w:rPr>
          <w:rFonts w:ascii="Times New Roman" w:hAnsi="Times New Roman"/>
          <w:b/>
          <w:sz w:val="24"/>
        </w:rPr>
        <w:t xml:space="preserve">-e                                       </w:t>
      </w:r>
      <w:r w:rsidR="00961DE7">
        <w:rPr>
          <w:rFonts w:ascii="Times New Roman" w:hAnsi="Times New Roman"/>
          <w:b/>
          <w:sz w:val="24"/>
        </w:rPr>
        <w:t xml:space="preserve">          </w:t>
      </w:r>
      <w:r w:rsidRPr="003928A3">
        <w:rPr>
          <w:rFonts w:ascii="Times New Roman" w:hAnsi="Times New Roman"/>
          <w:b/>
          <w:sz w:val="24"/>
          <w:lang w:val="en-US"/>
        </w:rPr>
        <w:t>R1-210</w:t>
      </w:r>
      <w:r w:rsidR="003928A3" w:rsidRPr="003928A3">
        <w:rPr>
          <w:rFonts w:ascii="Times New Roman" w:hAnsi="Times New Roman"/>
          <w:b/>
          <w:sz w:val="24"/>
          <w:lang w:val="en-US" w:eastAsia="ko-KR"/>
        </w:rPr>
        <w:t>1977</w:t>
      </w:r>
    </w:p>
    <w:p w:rsidR="001462CC" w:rsidRPr="00FA0873" w:rsidRDefault="001462CC" w:rsidP="001462CC">
      <w:pPr>
        <w:pStyle w:val="CRCoverPage"/>
        <w:tabs>
          <w:tab w:val="left" w:pos="8222"/>
          <w:tab w:val="right" w:pos="8640"/>
        </w:tabs>
        <w:ind w:right="1260"/>
        <w:rPr>
          <w:rFonts w:ascii="Times New Roman" w:hAnsi="Times New Roman"/>
          <w:b/>
          <w:sz w:val="24"/>
          <w:lang w:val="en-US"/>
        </w:rPr>
      </w:pPr>
      <w:r w:rsidRPr="00FA0873">
        <w:rPr>
          <w:rFonts w:ascii="Times New Roman" w:hAnsi="Times New Roman"/>
          <w:b/>
          <w:sz w:val="24"/>
          <w:szCs w:val="24"/>
          <w:lang w:eastAsia="zh-CN"/>
        </w:rPr>
        <w:t xml:space="preserve">E-meeting, </w:t>
      </w:r>
      <w:r w:rsidR="009E70B9">
        <w:rPr>
          <w:rFonts w:ascii="Times New Roman" w:hAnsi="Times New Roman"/>
          <w:b/>
          <w:sz w:val="24"/>
        </w:rPr>
        <w:t>February 21</w:t>
      </w:r>
      <w:r w:rsidR="009E70B9">
        <w:rPr>
          <w:rFonts w:ascii="Times New Roman" w:hAnsi="Times New Roman"/>
          <w:b/>
          <w:sz w:val="24"/>
          <w:vertAlign w:val="superscript"/>
        </w:rPr>
        <w:t>st</w:t>
      </w:r>
      <w:r w:rsidR="00305394" w:rsidRPr="00FA0873">
        <w:rPr>
          <w:rFonts w:ascii="Times New Roman" w:hAnsi="Times New Roman"/>
          <w:b/>
          <w:sz w:val="24"/>
        </w:rPr>
        <w:t xml:space="preserve"> – </w:t>
      </w:r>
      <w:r w:rsidR="009E70B9">
        <w:rPr>
          <w:rFonts w:ascii="Times New Roman" w:hAnsi="Times New Roman"/>
          <w:b/>
          <w:sz w:val="24"/>
        </w:rPr>
        <w:t>March 3</w:t>
      </w:r>
      <w:r w:rsidR="009E70B9">
        <w:rPr>
          <w:rFonts w:ascii="Times New Roman" w:hAnsi="Times New Roman"/>
          <w:b/>
          <w:sz w:val="24"/>
          <w:vertAlign w:val="superscript"/>
        </w:rPr>
        <w:t>rd</w:t>
      </w:r>
      <w:r w:rsidR="009E70B9">
        <w:rPr>
          <w:rFonts w:ascii="Times New Roman" w:hAnsi="Times New Roman"/>
          <w:b/>
          <w:sz w:val="24"/>
          <w:szCs w:val="24"/>
          <w:lang w:eastAsia="zh-CN"/>
        </w:rPr>
        <w:t>, 2022</w:t>
      </w:r>
    </w:p>
    <w:p w:rsidR="001462CC" w:rsidRPr="009A239F" w:rsidRDefault="001462CC" w:rsidP="001462CC">
      <w:pPr>
        <w:rPr>
          <w:lang w:eastAsia="zh-CN"/>
        </w:rPr>
      </w:pPr>
    </w:p>
    <w:p w:rsidR="001462CC" w:rsidRPr="00FA0873" w:rsidRDefault="001462CC" w:rsidP="001462CC">
      <w:pPr>
        <w:spacing w:after="60"/>
        <w:ind w:left="1985" w:hanging="1985"/>
        <w:rPr>
          <w:rFonts w:eastAsia="SimSun"/>
          <w:bCs/>
          <w:sz w:val="20"/>
          <w:szCs w:val="20"/>
          <w:lang w:eastAsia="zh-CN"/>
        </w:rPr>
      </w:pPr>
      <w:r w:rsidRPr="00FA0873">
        <w:rPr>
          <w:b/>
          <w:sz w:val="20"/>
          <w:szCs w:val="20"/>
        </w:rPr>
        <w:t>Title:</w:t>
      </w:r>
      <w:r w:rsidRPr="00FA0873">
        <w:rPr>
          <w:b/>
          <w:sz w:val="20"/>
          <w:szCs w:val="20"/>
        </w:rPr>
        <w:tab/>
      </w:r>
      <w:r w:rsidR="00F06915" w:rsidRPr="00FA0873">
        <w:rPr>
          <w:b/>
          <w:sz w:val="20"/>
          <w:szCs w:val="20"/>
        </w:rPr>
        <w:t xml:space="preserve">[Draft] </w:t>
      </w:r>
      <w:r w:rsidR="003928A3" w:rsidRPr="003928A3">
        <w:rPr>
          <w:sz w:val="20"/>
          <w:szCs w:val="20"/>
        </w:rPr>
        <w:t>Reply</w:t>
      </w:r>
      <w:r w:rsidR="003928A3">
        <w:rPr>
          <w:b/>
          <w:sz w:val="20"/>
          <w:szCs w:val="20"/>
        </w:rPr>
        <w:t xml:space="preserve"> </w:t>
      </w:r>
      <w:r w:rsidR="003928A3" w:rsidRPr="003928A3">
        <w:rPr>
          <w:sz w:val="20"/>
          <w:szCs w:val="20"/>
        </w:rPr>
        <w:t>LS on TCI State Upda</w:t>
      </w:r>
      <w:bookmarkStart w:id="0" w:name="_GoBack"/>
      <w:bookmarkEnd w:id="0"/>
      <w:r w:rsidR="003928A3" w:rsidRPr="003928A3">
        <w:rPr>
          <w:sz w:val="20"/>
          <w:szCs w:val="20"/>
        </w:rPr>
        <w:t>te for L1L2-Centric Inter-Cell Mobility to RAN3</w:t>
      </w:r>
    </w:p>
    <w:p w:rsidR="001462CC" w:rsidRPr="00FA0873" w:rsidRDefault="001462CC" w:rsidP="001462CC">
      <w:pPr>
        <w:spacing w:after="60"/>
        <w:ind w:left="1985" w:hanging="1985"/>
        <w:rPr>
          <w:bCs/>
          <w:sz w:val="20"/>
          <w:szCs w:val="20"/>
        </w:rPr>
      </w:pPr>
      <w:r w:rsidRPr="00FA0873">
        <w:rPr>
          <w:b/>
          <w:sz w:val="20"/>
          <w:szCs w:val="20"/>
        </w:rPr>
        <w:t>Response to:</w:t>
      </w:r>
      <w:r w:rsidRPr="00FA0873">
        <w:rPr>
          <w:bCs/>
          <w:sz w:val="20"/>
          <w:szCs w:val="20"/>
        </w:rPr>
        <w:tab/>
      </w:r>
      <w:r w:rsidRPr="009E70B9">
        <w:rPr>
          <w:sz w:val="20"/>
          <w:szCs w:val="20"/>
        </w:rPr>
        <w:t>R1-2</w:t>
      </w:r>
      <w:r w:rsidR="009E70B9" w:rsidRPr="009E70B9">
        <w:rPr>
          <w:sz w:val="20"/>
          <w:szCs w:val="20"/>
        </w:rPr>
        <w:t>200861</w:t>
      </w:r>
      <w:r w:rsidRPr="00FA0873">
        <w:rPr>
          <w:sz w:val="20"/>
          <w:szCs w:val="20"/>
        </w:rPr>
        <w:t>/</w:t>
      </w:r>
      <w:r w:rsidR="00FA0873" w:rsidRPr="00FA0873">
        <w:rPr>
          <w:sz w:val="20"/>
          <w:szCs w:val="20"/>
        </w:rPr>
        <w:t>R3-21</w:t>
      </w:r>
      <w:r w:rsidR="009E70B9">
        <w:rPr>
          <w:sz w:val="20"/>
          <w:szCs w:val="20"/>
        </w:rPr>
        <w:t>6234</w:t>
      </w:r>
    </w:p>
    <w:p w:rsidR="001462CC" w:rsidRPr="00FA0873" w:rsidRDefault="001462CC" w:rsidP="001462CC">
      <w:pPr>
        <w:spacing w:after="60"/>
        <w:ind w:left="1985" w:hanging="1985"/>
        <w:rPr>
          <w:rFonts w:eastAsia="SimSun"/>
          <w:bCs/>
          <w:sz w:val="20"/>
          <w:szCs w:val="20"/>
          <w:lang w:eastAsia="zh-CN"/>
        </w:rPr>
      </w:pPr>
      <w:r w:rsidRPr="00FA0873">
        <w:rPr>
          <w:b/>
          <w:sz w:val="20"/>
          <w:szCs w:val="20"/>
        </w:rPr>
        <w:t>Release:</w:t>
      </w:r>
      <w:r w:rsidRPr="00FA0873">
        <w:rPr>
          <w:bCs/>
          <w:sz w:val="20"/>
          <w:szCs w:val="20"/>
        </w:rPr>
        <w:tab/>
        <w:t>Rel-17</w:t>
      </w:r>
    </w:p>
    <w:p w:rsidR="001462CC" w:rsidRPr="00FA0873" w:rsidRDefault="001462CC" w:rsidP="001462CC">
      <w:pPr>
        <w:spacing w:after="60"/>
        <w:ind w:left="1985" w:hanging="1985"/>
        <w:rPr>
          <w:rFonts w:eastAsia="SimSun"/>
          <w:bCs/>
          <w:sz w:val="20"/>
          <w:szCs w:val="20"/>
          <w:lang w:eastAsia="zh-CN"/>
        </w:rPr>
      </w:pPr>
      <w:r w:rsidRPr="00FA0873">
        <w:rPr>
          <w:b/>
          <w:sz w:val="20"/>
          <w:szCs w:val="20"/>
        </w:rPr>
        <w:t>Work Item:</w:t>
      </w:r>
      <w:r w:rsidRPr="00FA0873">
        <w:rPr>
          <w:bCs/>
          <w:sz w:val="20"/>
          <w:szCs w:val="20"/>
        </w:rPr>
        <w:tab/>
      </w:r>
      <w:r w:rsidRPr="00FA0873">
        <w:rPr>
          <w:bCs/>
          <w:sz w:val="20"/>
          <w:szCs w:val="20"/>
          <w:lang w:val="en-GB"/>
        </w:rPr>
        <w:t>NR_FeMIMO-Core</w:t>
      </w:r>
    </w:p>
    <w:p w:rsidR="001462CC" w:rsidRPr="00FA0873" w:rsidRDefault="001462CC" w:rsidP="001462CC">
      <w:pPr>
        <w:spacing w:after="60"/>
        <w:ind w:left="1985" w:hanging="1985"/>
        <w:rPr>
          <w:b/>
          <w:sz w:val="20"/>
          <w:szCs w:val="20"/>
        </w:rPr>
      </w:pPr>
    </w:p>
    <w:p w:rsidR="001462CC" w:rsidRPr="00FA0873" w:rsidRDefault="001462CC" w:rsidP="001462CC">
      <w:pPr>
        <w:spacing w:after="60"/>
        <w:ind w:left="1985" w:hanging="1985"/>
        <w:rPr>
          <w:rFonts w:eastAsia="SimSun"/>
          <w:bCs/>
          <w:sz w:val="20"/>
          <w:szCs w:val="20"/>
        </w:rPr>
      </w:pPr>
      <w:r w:rsidRPr="00FA0873">
        <w:rPr>
          <w:b/>
          <w:sz w:val="20"/>
          <w:szCs w:val="20"/>
        </w:rPr>
        <w:t>Source:</w:t>
      </w:r>
      <w:r w:rsidRPr="00FA0873">
        <w:rPr>
          <w:bCs/>
          <w:sz w:val="20"/>
          <w:szCs w:val="20"/>
        </w:rPr>
        <w:tab/>
        <w:t>RAN1</w:t>
      </w:r>
    </w:p>
    <w:p w:rsidR="001462CC" w:rsidRPr="00FA0873" w:rsidRDefault="001462CC" w:rsidP="001462CC">
      <w:pPr>
        <w:spacing w:after="60"/>
        <w:ind w:left="1985" w:hanging="1985"/>
        <w:rPr>
          <w:rFonts w:eastAsia="SimSun"/>
          <w:b/>
          <w:bCs/>
          <w:sz w:val="20"/>
          <w:szCs w:val="20"/>
          <w:lang w:eastAsia="zh-CN"/>
        </w:rPr>
      </w:pPr>
      <w:r w:rsidRPr="00FA0873">
        <w:rPr>
          <w:b/>
          <w:sz w:val="20"/>
          <w:szCs w:val="20"/>
        </w:rPr>
        <w:t>To:</w:t>
      </w:r>
      <w:r w:rsidRPr="00FA0873">
        <w:rPr>
          <w:bCs/>
          <w:sz w:val="20"/>
          <w:szCs w:val="20"/>
        </w:rPr>
        <w:tab/>
      </w:r>
      <w:r w:rsidR="00FA0873" w:rsidRPr="00FA0873">
        <w:rPr>
          <w:rFonts w:eastAsia="SimSun"/>
          <w:bCs/>
          <w:sz w:val="20"/>
          <w:szCs w:val="20"/>
          <w:lang w:eastAsia="zh-CN"/>
        </w:rPr>
        <w:t>RAN3</w:t>
      </w:r>
    </w:p>
    <w:p w:rsidR="001462CC" w:rsidRPr="00FA0873" w:rsidRDefault="001462CC" w:rsidP="001462CC">
      <w:pPr>
        <w:spacing w:after="60"/>
        <w:ind w:left="1985" w:hanging="1985"/>
        <w:rPr>
          <w:rFonts w:eastAsia="SimSun"/>
          <w:bCs/>
          <w:sz w:val="20"/>
          <w:szCs w:val="20"/>
          <w:lang w:eastAsia="zh-CN"/>
        </w:rPr>
      </w:pPr>
      <w:r w:rsidRPr="00FA0873">
        <w:rPr>
          <w:b/>
          <w:sz w:val="20"/>
          <w:szCs w:val="20"/>
        </w:rPr>
        <w:t>Cc:</w:t>
      </w:r>
      <w:r w:rsidRPr="00FA0873">
        <w:rPr>
          <w:bCs/>
          <w:sz w:val="20"/>
          <w:szCs w:val="20"/>
        </w:rPr>
        <w:tab/>
      </w:r>
      <w:r w:rsidR="00FA0873" w:rsidRPr="00FA0873">
        <w:rPr>
          <w:bCs/>
          <w:sz w:val="20"/>
          <w:szCs w:val="20"/>
        </w:rPr>
        <w:t>RAN2</w:t>
      </w:r>
      <w:r w:rsidRPr="00FA0873">
        <w:rPr>
          <w:bCs/>
          <w:sz w:val="20"/>
          <w:szCs w:val="20"/>
        </w:rPr>
        <w:t>, RAN4, RAN</w:t>
      </w:r>
    </w:p>
    <w:p w:rsidR="001462CC" w:rsidRPr="00FA0873" w:rsidRDefault="001462CC" w:rsidP="001462CC">
      <w:pPr>
        <w:spacing w:after="60"/>
        <w:ind w:left="1985" w:hanging="1985"/>
        <w:rPr>
          <w:bCs/>
          <w:sz w:val="20"/>
          <w:szCs w:val="20"/>
        </w:rPr>
      </w:pPr>
    </w:p>
    <w:p w:rsidR="001462CC" w:rsidRPr="00FA0873" w:rsidRDefault="001462CC" w:rsidP="001462CC">
      <w:pPr>
        <w:tabs>
          <w:tab w:val="left" w:pos="2268"/>
        </w:tabs>
        <w:rPr>
          <w:bCs/>
          <w:sz w:val="20"/>
          <w:szCs w:val="20"/>
        </w:rPr>
      </w:pPr>
      <w:r w:rsidRPr="00FA0873">
        <w:rPr>
          <w:b/>
          <w:sz w:val="20"/>
          <w:szCs w:val="20"/>
        </w:rPr>
        <w:t>Contact Person:</w:t>
      </w:r>
      <w:r w:rsidRPr="00FA0873">
        <w:rPr>
          <w:bCs/>
          <w:sz w:val="20"/>
          <w:szCs w:val="20"/>
        </w:rPr>
        <w:tab/>
      </w:r>
    </w:p>
    <w:p w:rsidR="001462CC" w:rsidRPr="00FA0873" w:rsidRDefault="001462CC" w:rsidP="001462CC">
      <w:pPr>
        <w:spacing w:after="60"/>
        <w:ind w:left="2552" w:hanging="1985"/>
        <w:rPr>
          <w:b/>
          <w:sz w:val="20"/>
          <w:szCs w:val="20"/>
        </w:rPr>
      </w:pPr>
      <w:r w:rsidRPr="00FA0873">
        <w:rPr>
          <w:b/>
          <w:sz w:val="20"/>
          <w:szCs w:val="20"/>
        </w:rPr>
        <w:t>Name:</w:t>
      </w:r>
      <w:r w:rsidRPr="00FA0873">
        <w:rPr>
          <w:b/>
          <w:sz w:val="20"/>
          <w:szCs w:val="20"/>
        </w:rPr>
        <w:tab/>
      </w:r>
      <w:proofErr w:type="spellStart"/>
      <w:r w:rsidRPr="00FA0873">
        <w:rPr>
          <w:sz w:val="20"/>
          <w:szCs w:val="20"/>
        </w:rPr>
        <w:t>Emad</w:t>
      </w:r>
      <w:proofErr w:type="spellEnd"/>
      <w:r w:rsidRPr="00FA0873">
        <w:rPr>
          <w:sz w:val="20"/>
          <w:szCs w:val="20"/>
        </w:rPr>
        <w:t xml:space="preserve"> </w:t>
      </w:r>
      <w:proofErr w:type="spellStart"/>
      <w:r w:rsidRPr="00FA0873">
        <w:rPr>
          <w:sz w:val="20"/>
          <w:szCs w:val="20"/>
        </w:rPr>
        <w:t>Farag</w:t>
      </w:r>
      <w:proofErr w:type="spellEnd"/>
    </w:p>
    <w:p w:rsidR="001462CC" w:rsidRPr="00FA0873" w:rsidRDefault="001462CC" w:rsidP="001462CC">
      <w:pPr>
        <w:spacing w:after="60"/>
        <w:ind w:left="2552" w:hanging="1985"/>
        <w:rPr>
          <w:b/>
          <w:sz w:val="20"/>
          <w:szCs w:val="20"/>
        </w:rPr>
      </w:pPr>
      <w:r w:rsidRPr="00FA0873">
        <w:rPr>
          <w:b/>
          <w:sz w:val="20"/>
          <w:szCs w:val="20"/>
        </w:rPr>
        <w:t>E-mail Address:</w:t>
      </w:r>
      <w:r w:rsidRPr="00FA0873">
        <w:rPr>
          <w:b/>
          <w:sz w:val="20"/>
          <w:szCs w:val="20"/>
        </w:rPr>
        <w:tab/>
      </w:r>
      <w:r w:rsidRPr="00FA0873">
        <w:rPr>
          <w:sz w:val="20"/>
          <w:szCs w:val="20"/>
        </w:rPr>
        <w:t>e.farag@samsung.com</w:t>
      </w:r>
    </w:p>
    <w:p w:rsidR="001462CC" w:rsidRPr="008D7BFC" w:rsidRDefault="001462CC" w:rsidP="001462CC">
      <w:pPr>
        <w:rPr>
          <w:b/>
        </w:rPr>
      </w:pPr>
    </w:p>
    <w:p w:rsidR="00FA0873" w:rsidRPr="008D7BFC" w:rsidRDefault="00FA0873" w:rsidP="00FA0873">
      <w:pPr>
        <w:pStyle w:val="Heading1"/>
        <w:rPr>
          <w:b/>
          <w:sz w:val="24"/>
          <w:szCs w:val="20"/>
        </w:rPr>
      </w:pPr>
      <w:r w:rsidRPr="008D7BFC">
        <w:rPr>
          <w:b/>
          <w:sz w:val="24"/>
          <w:szCs w:val="20"/>
        </w:rPr>
        <w:t>Overall description</w:t>
      </w:r>
    </w:p>
    <w:p w:rsidR="00FA0873" w:rsidRDefault="008D7BFC" w:rsidP="00FA0873">
      <w:pPr>
        <w:rPr>
          <w:iCs/>
          <w:color w:val="000000" w:themeColor="text1"/>
          <w:sz w:val="20"/>
          <w:szCs w:val="20"/>
        </w:rPr>
      </w:pPr>
      <w:r>
        <w:rPr>
          <w:iCs/>
          <w:color w:val="000000" w:themeColor="text1"/>
          <w:sz w:val="20"/>
          <w:szCs w:val="20"/>
        </w:rPr>
        <w:t>RAN1 would like to thank RAN3 for the reply LS on “</w:t>
      </w:r>
      <w:r w:rsidRPr="008D7BFC">
        <w:rPr>
          <w:iCs/>
          <w:color w:val="000000" w:themeColor="text1"/>
          <w:sz w:val="20"/>
          <w:szCs w:val="20"/>
        </w:rPr>
        <w:t>TCI State Update for L1/L2-Centric Inter-Cell Mobility</w:t>
      </w:r>
      <w:r>
        <w:rPr>
          <w:iCs/>
          <w:color w:val="000000" w:themeColor="text1"/>
          <w:sz w:val="20"/>
          <w:szCs w:val="20"/>
        </w:rPr>
        <w:t xml:space="preserve">”. In the reply LS, </w:t>
      </w:r>
      <w:r w:rsidR="009E70B9">
        <w:rPr>
          <w:iCs/>
          <w:color w:val="000000" w:themeColor="text1"/>
          <w:sz w:val="20"/>
          <w:szCs w:val="20"/>
        </w:rPr>
        <w:t>RAN3 raised the following issue</w:t>
      </w:r>
      <w:r>
        <w:rPr>
          <w:iCs/>
          <w:color w:val="000000" w:themeColor="text1"/>
          <w:sz w:val="20"/>
          <w:szCs w:val="20"/>
        </w:rPr>
        <w:t>:</w:t>
      </w:r>
    </w:p>
    <w:p w:rsidR="008D7BFC" w:rsidRDefault="008D7BFC" w:rsidP="00FA0873">
      <w:pPr>
        <w:rPr>
          <w:iCs/>
          <w:color w:val="000000" w:themeColor="text1"/>
          <w:sz w:val="20"/>
          <w:szCs w:val="20"/>
        </w:rPr>
      </w:pPr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68D5B36" wp14:editId="77F0EDDF">
                <wp:simplePos x="0" y="0"/>
                <wp:positionH relativeFrom="margin">
                  <wp:align>right</wp:align>
                </wp:positionH>
                <wp:positionV relativeFrom="paragraph">
                  <wp:posOffset>291465</wp:posOffset>
                </wp:positionV>
                <wp:extent cx="5929630" cy="1828800"/>
                <wp:effectExtent l="0" t="0" r="13970" b="20955"/>
                <wp:wrapSquare wrapText="bothSides"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29630" cy="18288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8D7BFC" w:rsidRPr="009E70B9" w:rsidRDefault="009E70B9" w:rsidP="00F85821">
                            <w:pPr>
                              <w:rPr>
                                <w:noProof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9E70B9">
                              <w:rPr>
                                <w:sz w:val="20"/>
                                <w:lang w:val="en-GB"/>
                              </w:rPr>
                              <w:t>RAN3 is aware that the term “non-serving cell” is not used in RAN1/2. However, from the RAN4 LS (R3-214702/R4-2115357), RAN3 understands that a non-serving cell is a neighbour cell with a different PCI from serving cell and that a UE can be scheduled data on both serving and non-serving cells. RAN3 would like to clarify that the understanding derived from the reply LS from RAN4 is correct also for RAN1.</w:t>
                            </w:r>
                            <w:r>
                              <w:rPr>
                                <w:sz w:val="20"/>
                                <w:lang w:val="en-GB"/>
                              </w:rPr>
                              <w:t xml:space="preserve"> </w:t>
                            </w:r>
                            <w:r w:rsidRPr="009E70B9">
                              <w:rPr>
                                <w:sz w:val="20"/>
                                <w:lang w:val="en-GB"/>
                              </w:rPr>
                              <w:t>Meanwhile, RAN3 would use the term “a TRP associated with a PCI different from that of the serving cell”.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068D5B36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415.7pt;margin-top:22.95pt;width:466.9pt;height:2in;z-index:251661312;visibility:visible;mso-wrap-style:square;mso-width-percent:0;mso-wrap-distance-left:9pt;mso-wrap-distance-top:0;mso-wrap-distance-right:9pt;mso-wrap-distance-bottom:0;mso-position-horizontal:right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" fillcolor="#f2f2f2 [3052]" strokeweight=".5pt">
                <v:textbox style="mso-fit-shape-to-text:t">
                  <w:txbxContent>
                    <w:p w:rsidR="008D7BFC" w:rsidRPr="009E70B9" w:rsidRDefault="009E70B9" w:rsidP="00F85821">
                      <w:pPr>
                        <w:rPr>
                          <w:noProof/>
                          <w:sz w:val="20"/>
                          <w:szCs w:val="20"/>
                          <w:lang w:eastAsia="zh-CN"/>
                        </w:rPr>
                      </w:pPr>
                      <w:r w:rsidRPr="009E70B9">
                        <w:rPr>
                          <w:sz w:val="20"/>
                          <w:lang w:val="en-GB"/>
                        </w:rPr>
                        <w:t>RAN3 is aware that the term “non-serving cell” is not used in RAN1/2. However, from the RAN4 LS (R3-214702/R4-2115357), RAN3 understands that a non-serving cell is a neighbour cell with a different PCI from serving cell and that a UE can be scheduled data on both serving and non-serving cells. RAN3 would like to clarify that the understanding derived from the reply LS from RAN4 is correct also for RAN1.</w:t>
                      </w:r>
                      <w:r>
                        <w:rPr>
                          <w:sz w:val="20"/>
                          <w:lang w:val="en-GB"/>
                        </w:rPr>
                        <w:t xml:space="preserve"> </w:t>
                      </w:r>
                      <w:r w:rsidRPr="009E70B9">
                        <w:rPr>
                          <w:sz w:val="20"/>
                          <w:lang w:val="en-GB"/>
                        </w:rPr>
                        <w:t>Meanwhile, RAN3 would use the term “a TRP associated with a PCI different from that of the serving cell”</w:t>
                      </w:r>
                      <w:r w:rsidRPr="009E70B9">
                        <w:rPr>
                          <w:sz w:val="20"/>
                          <w:lang w:val="en-GB"/>
                        </w:rPr>
                        <w:t>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8D7BFC" w:rsidRDefault="008D7BFC" w:rsidP="00FA0873">
      <w:pPr>
        <w:rPr>
          <w:iCs/>
          <w:color w:val="000000" w:themeColor="text1"/>
          <w:sz w:val="20"/>
          <w:szCs w:val="20"/>
        </w:rPr>
      </w:pPr>
    </w:p>
    <w:p w:rsidR="008D7BFC" w:rsidRDefault="008D7BFC" w:rsidP="00FA0873">
      <w:pPr>
        <w:rPr>
          <w:iCs/>
          <w:color w:val="000000" w:themeColor="text1"/>
          <w:sz w:val="20"/>
          <w:szCs w:val="20"/>
        </w:rPr>
      </w:pPr>
    </w:p>
    <w:p w:rsidR="008D7BFC" w:rsidRDefault="008D7BFC" w:rsidP="00FA0873">
      <w:pPr>
        <w:rPr>
          <w:iCs/>
          <w:color w:val="000000" w:themeColor="text1"/>
          <w:sz w:val="20"/>
          <w:szCs w:val="20"/>
        </w:rPr>
      </w:pPr>
      <w:r>
        <w:rPr>
          <w:iCs/>
          <w:color w:val="000000" w:themeColor="text1"/>
          <w:sz w:val="20"/>
          <w:szCs w:val="20"/>
        </w:rPr>
        <w:t xml:space="preserve">RAN1 has discussed these </w:t>
      </w:r>
      <w:r w:rsidR="00DF47F6">
        <w:rPr>
          <w:iCs/>
          <w:color w:val="000000" w:themeColor="text1"/>
          <w:sz w:val="20"/>
          <w:szCs w:val="20"/>
        </w:rPr>
        <w:t>issues</w:t>
      </w:r>
      <w:r>
        <w:rPr>
          <w:iCs/>
          <w:color w:val="000000" w:themeColor="text1"/>
          <w:sz w:val="20"/>
          <w:szCs w:val="20"/>
        </w:rPr>
        <w:t xml:space="preserve"> and came to the f</w:t>
      </w:r>
      <w:r w:rsidR="009E70B9">
        <w:rPr>
          <w:iCs/>
          <w:color w:val="000000" w:themeColor="text1"/>
          <w:sz w:val="20"/>
          <w:szCs w:val="20"/>
        </w:rPr>
        <w:t>ollowing answer</w:t>
      </w:r>
      <w:r>
        <w:rPr>
          <w:iCs/>
          <w:color w:val="000000" w:themeColor="text1"/>
          <w:sz w:val="20"/>
          <w:szCs w:val="20"/>
        </w:rPr>
        <w:t>:</w:t>
      </w:r>
    </w:p>
    <w:p w:rsidR="008D7BFC" w:rsidRDefault="008D7BFC" w:rsidP="00FA0873">
      <w:pPr>
        <w:rPr>
          <w:iCs/>
          <w:color w:val="000000" w:themeColor="text1"/>
          <w:sz w:val="20"/>
          <w:szCs w:val="20"/>
        </w:rPr>
      </w:pPr>
    </w:p>
    <w:p w:rsidR="009E70B9" w:rsidRDefault="009E70B9" w:rsidP="00FA0873">
      <w:pPr>
        <w:rPr>
          <w:iCs/>
          <w:color w:val="000000" w:themeColor="text1"/>
          <w:sz w:val="20"/>
          <w:szCs w:val="20"/>
        </w:rPr>
      </w:pPr>
      <w:r>
        <w:rPr>
          <w:iCs/>
          <w:color w:val="000000" w:themeColor="text1"/>
          <w:sz w:val="20"/>
          <w:szCs w:val="20"/>
        </w:rPr>
        <w:t>RAN1 confirms that the term “non-serving” cells is no longer used in the context o</w:t>
      </w:r>
      <w:r w:rsidR="00DF47F6">
        <w:rPr>
          <w:iCs/>
          <w:color w:val="000000" w:themeColor="text1"/>
          <w:sz w:val="20"/>
          <w:szCs w:val="20"/>
        </w:rPr>
        <w:t xml:space="preserve">f inter-cell beam management or inter-cell </w:t>
      </w:r>
      <w:proofErr w:type="spellStart"/>
      <w:r w:rsidR="00DF47F6">
        <w:rPr>
          <w:iCs/>
          <w:color w:val="000000" w:themeColor="text1"/>
          <w:sz w:val="20"/>
          <w:szCs w:val="20"/>
        </w:rPr>
        <w:t>mTRP</w:t>
      </w:r>
      <w:proofErr w:type="spellEnd"/>
      <w:r w:rsidR="00DF47F6">
        <w:rPr>
          <w:iCs/>
          <w:color w:val="000000" w:themeColor="text1"/>
          <w:sz w:val="20"/>
          <w:szCs w:val="20"/>
        </w:rPr>
        <w:t>, instead the term “a cell or TRP with PCI different from the PCI of the serving cell” is used.</w:t>
      </w:r>
    </w:p>
    <w:p w:rsidR="00DF47F6" w:rsidRDefault="00DF47F6" w:rsidP="00FA0873">
      <w:pPr>
        <w:rPr>
          <w:iCs/>
          <w:color w:val="000000" w:themeColor="text1"/>
          <w:sz w:val="20"/>
          <w:szCs w:val="20"/>
        </w:rPr>
      </w:pPr>
    </w:p>
    <w:p w:rsidR="00DF47F6" w:rsidRDefault="00DF47F6" w:rsidP="00FA0873">
      <w:pPr>
        <w:rPr>
          <w:iCs/>
          <w:color w:val="000000" w:themeColor="text1"/>
          <w:sz w:val="20"/>
          <w:szCs w:val="20"/>
        </w:rPr>
      </w:pPr>
      <w:r>
        <w:rPr>
          <w:iCs/>
          <w:color w:val="000000" w:themeColor="text1"/>
          <w:sz w:val="20"/>
          <w:szCs w:val="20"/>
        </w:rPr>
        <w:t>In case of inter-cell beam management, a UE can’t receive data from two cells (TRPs) with different PCIs at the same time.</w:t>
      </w:r>
    </w:p>
    <w:p w:rsidR="00DF47F6" w:rsidRDefault="00DF47F6" w:rsidP="00FA0873">
      <w:pPr>
        <w:rPr>
          <w:iCs/>
          <w:color w:val="000000" w:themeColor="text1"/>
          <w:sz w:val="20"/>
          <w:szCs w:val="20"/>
        </w:rPr>
      </w:pPr>
    </w:p>
    <w:p w:rsidR="00DF47F6" w:rsidRDefault="00DF47F6" w:rsidP="00FA0873">
      <w:pPr>
        <w:rPr>
          <w:iCs/>
          <w:color w:val="000000" w:themeColor="text1"/>
          <w:sz w:val="20"/>
          <w:szCs w:val="20"/>
        </w:rPr>
      </w:pPr>
      <w:r>
        <w:rPr>
          <w:iCs/>
          <w:color w:val="000000" w:themeColor="text1"/>
          <w:sz w:val="20"/>
          <w:szCs w:val="20"/>
        </w:rPr>
        <w:t xml:space="preserve">In case of inter-cell </w:t>
      </w:r>
      <w:proofErr w:type="spellStart"/>
      <w:r>
        <w:rPr>
          <w:iCs/>
          <w:color w:val="000000" w:themeColor="text1"/>
          <w:sz w:val="20"/>
          <w:szCs w:val="20"/>
        </w:rPr>
        <w:t>mTRP</w:t>
      </w:r>
      <w:proofErr w:type="spellEnd"/>
      <w:r>
        <w:rPr>
          <w:iCs/>
          <w:color w:val="000000" w:themeColor="text1"/>
          <w:sz w:val="20"/>
          <w:szCs w:val="20"/>
        </w:rPr>
        <w:t>, a UE can receive data simultaneously from two cells (TRPs) with different PCIs.</w:t>
      </w:r>
    </w:p>
    <w:p w:rsidR="00FA0873" w:rsidRPr="008D7BFC" w:rsidRDefault="00FA0873" w:rsidP="00FA0873">
      <w:pPr>
        <w:pStyle w:val="Heading1"/>
        <w:rPr>
          <w:b/>
          <w:sz w:val="24"/>
          <w:szCs w:val="20"/>
        </w:rPr>
      </w:pPr>
      <w:r w:rsidRPr="008D7BFC">
        <w:rPr>
          <w:b/>
          <w:sz w:val="24"/>
          <w:szCs w:val="20"/>
        </w:rPr>
        <w:t>Actions</w:t>
      </w:r>
    </w:p>
    <w:p w:rsidR="00FA0873" w:rsidRPr="00FA0873" w:rsidRDefault="00FA0873" w:rsidP="00FA0873">
      <w:pPr>
        <w:spacing w:after="120"/>
        <w:ind w:left="1985" w:hanging="1985"/>
        <w:rPr>
          <w:sz w:val="20"/>
          <w:szCs w:val="20"/>
        </w:rPr>
      </w:pPr>
      <w:r w:rsidRPr="00FA0873">
        <w:rPr>
          <w:sz w:val="20"/>
          <w:szCs w:val="20"/>
        </w:rPr>
        <w:t>To: RAN</w:t>
      </w:r>
      <w:r w:rsidR="009D3D42">
        <w:rPr>
          <w:sz w:val="20"/>
          <w:szCs w:val="20"/>
        </w:rPr>
        <w:t>3, RAN2 and RAN4</w:t>
      </w:r>
    </w:p>
    <w:p w:rsidR="00FA0873" w:rsidRPr="00FA0873" w:rsidRDefault="00FA0873" w:rsidP="00FA0873">
      <w:pPr>
        <w:spacing w:after="120"/>
        <w:ind w:left="993" w:hanging="993"/>
        <w:rPr>
          <w:sz w:val="20"/>
          <w:szCs w:val="20"/>
        </w:rPr>
      </w:pPr>
      <w:r w:rsidRPr="00FA0873">
        <w:rPr>
          <w:sz w:val="20"/>
          <w:szCs w:val="20"/>
        </w:rPr>
        <w:t xml:space="preserve">ACTION: </w:t>
      </w:r>
      <w:r w:rsidRPr="00FA0873">
        <w:rPr>
          <w:color w:val="0070C0"/>
          <w:sz w:val="20"/>
          <w:szCs w:val="20"/>
        </w:rPr>
        <w:tab/>
      </w:r>
      <w:r w:rsidRPr="00FA0873">
        <w:rPr>
          <w:sz w:val="20"/>
          <w:szCs w:val="20"/>
        </w:rPr>
        <w:t>RAN</w:t>
      </w:r>
      <w:r w:rsidR="009D3D42">
        <w:rPr>
          <w:sz w:val="20"/>
          <w:szCs w:val="20"/>
        </w:rPr>
        <w:t>1</w:t>
      </w:r>
      <w:r w:rsidRPr="00FA0873">
        <w:rPr>
          <w:sz w:val="20"/>
          <w:szCs w:val="20"/>
        </w:rPr>
        <w:t xml:space="preserve"> kindly asks </w:t>
      </w:r>
      <w:r w:rsidR="009D3D42">
        <w:rPr>
          <w:sz w:val="20"/>
          <w:szCs w:val="20"/>
        </w:rPr>
        <w:t>RAN3</w:t>
      </w:r>
      <w:r w:rsidRPr="00FA0873">
        <w:rPr>
          <w:sz w:val="20"/>
          <w:szCs w:val="20"/>
        </w:rPr>
        <w:t>, RAN2 and RAN4 to take the above into consideration</w:t>
      </w:r>
      <w:r w:rsidR="009D3D42">
        <w:rPr>
          <w:sz w:val="20"/>
          <w:szCs w:val="20"/>
        </w:rPr>
        <w:t>.</w:t>
      </w:r>
    </w:p>
    <w:p w:rsidR="00FA0873" w:rsidRPr="008D7BFC" w:rsidRDefault="00FA0873" w:rsidP="00FA0873">
      <w:pPr>
        <w:pStyle w:val="Heading1"/>
        <w:rPr>
          <w:b/>
          <w:sz w:val="24"/>
          <w:szCs w:val="20"/>
        </w:rPr>
      </w:pPr>
      <w:r w:rsidRPr="008D7BFC">
        <w:rPr>
          <w:b/>
          <w:sz w:val="24"/>
          <w:szCs w:val="20"/>
        </w:rPr>
        <w:t xml:space="preserve">Dates of next </w:t>
      </w:r>
      <w:r w:rsidRPr="008D7BFC">
        <w:rPr>
          <w:b/>
          <w:bCs/>
          <w:sz w:val="24"/>
          <w:szCs w:val="20"/>
        </w:rPr>
        <w:t xml:space="preserve">TSG </w:t>
      </w:r>
      <w:r w:rsidRPr="008D7BFC">
        <w:rPr>
          <w:b/>
          <w:sz w:val="24"/>
          <w:szCs w:val="20"/>
        </w:rPr>
        <w:t>WG1 meetings</w:t>
      </w:r>
    </w:p>
    <w:p w:rsidR="00FA0873" w:rsidRPr="00FA0873" w:rsidRDefault="00FA0873" w:rsidP="00FA0873">
      <w:pPr>
        <w:tabs>
          <w:tab w:val="left" w:pos="5103"/>
        </w:tabs>
        <w:spacing w:after="120"/>
        <w:ind w:left="2268" w:hanging="2268"/>
        <w:rPr>
          <w:bCs/>
          <w:sz w:val="20"/>
          <w:szCs w:val="20"/>
          <w:lang w:val="it-IT"/>
        </w:rPr>
      </w:pPr>
      <w:r>
        <w:rPr>
          <w:bCs/>
          <w:sz w:val="20"/>
          <w:szCs w:val="20"/>
          <w:lang w:val="it-IT"/>
        </w:rPr>
        <w:t>RAN1</w:t>
      </w:r>
      <w:r w:rsidRPr="00FA0873">
        <w:rPr>
          <w:bCs/>
          <w:sz w:val="20"/>
          <w:szCs w:val="20"/>
          <w:lang w:val="it-IT"/>
        </w:rPr>
        <w:t>#</w:t>
      </w:r>
      <w:r w:rsidR="004F04E6">
        <w:rPr>
          <w:bCs/>
          <w:sz w:val="20"/>
          <w:szCs w:val="20"/>
          <w:lang w:val="it-IT"/>
        </w:rPr>
        <w:t>109</w:t>
      </w:r>
      <w:r>
        <w:rPr>
          <w:bCs/>
          <w:sz w:val="20"/>
          <w:szCs w:val="20"/>
          <w:lang w:val="it-IT"/>
        </w:rPr>
        <w:t>-e</w:t>
      </w:r>
      <w:r w:rsidRPr="00FA0873">
        <w:rPr>
          <w:bCs/>
          <w:sz w:val="20"/>
          <w:szCs w:val="20"/>
          <w:lang w:val="it-IT"/>
        </w:rPr>
        <w:tab/>
      </w:r>
      <w:r w:rsidR="004F04E6">
        <w:rPr>
          <w:bCs/>
          <w:sz w:val="20"/>
          <w:szCs w:val="20"/>
          <w:lang w:val="it-IT"/>
        </w:rPr>
        <w:t>May</w:t>
      </w:r>
      <w:r w:rsidR="00D83638">
        <w:rPr>
          <w:bCs/>
          <w:sz w:val="20"/>
          <w:szCs w:val="20"/>
          <w:lang w:val="it-IT"/>
        </w:rPr>
        <w:t xml:space="preserve"> 1</w:t>
      </w:r>
      <w:r w:rsidR="004F04E6">
        <w:rPr>
          <w:bCs/>
          <w:sz w:val="20"/>
          <w:szCs w:val="20"/>
          <w:lang w:val="it-IT"/>
        </w:rPr>
        <w:t>6th – 27</w:t>
      </w:r>
      <w:r w:rsidR="00D83638">
        <w:rPr>
          <w:bCs/>
          <w:sz w:val="20"/>
          <w:szCs w:val="20"/>
          <w:lang w:val="it-IT"/>
        </w:rPr>
        <w:t>th</w:t>
      </w:r>
      <w:r w:rsidR="004F04E6">
        <w:rPr>
          <w:bCs/>
          <w:sz w:val="20"/>
          <w:szCs w:val="20"/>
          <w:lang w:val="it-IT"/>
        </w:rPr>
        <w:t>, 2022</w:t>
      </w:r>
      <w:r w:rsidRPr="00FA0873">
        <w:rPr>
          <w:bCs/>
          <w:sz w:val="20"/>
          <w:szCs w:val="20"/>
          <w:lang w:val="it-IT"/>
        </w:rPr>
        <w:tab/>
      </w:r>
      <w:r>
        <w:rPr>
          <w:bCs/>
          <w:sz w:val="20"/>
          <w:szCs w:val="20"/>
          <w:lang w:val="it-IT"/>
        </w:rPr>
        <w:t>E-meeting</w:t>
      </w:r>
    </w:p>
    <w:p w:rsidR="00FA0873" w:rsidRPr="00FA0873" w:rsidRDefault="00FA0873" w:rsidP="00FA0873">
      <w:pPr>
        <w:tabs>
          <w:tab w:val="left" w:pos="5103"/>
        </w:tabs>
        <w:spacing w:after="120"/>
        <w:ind w:left="2268" w:hanging="2268"/>
        <w:rPr>
          <w:bCs/>
          <w:sz w:val="20"/>
          <w:szCs w:val="20"/>
          <w:lang w:val="it-IT"/>
        </w:rPr>
      </w:pPr>
      <w:r>
        <w:rPr>
          <w:bCs/>
          <w:sz w:val="20"/>
          <w:szCs w:val="20"/>
          <w:lang w:val="it-IT"/>
        </w:rPr>
        <w:lastRenderedPageBreak/>
        <w:t>RAN1</w:t>
      </w:r>
      <w:r w:rsidRPr="00FA0873">
        <w:rPr>
          <w:bCs/>
          <w:sz w:val="20"/>
          <w:szCs w:val="20"/>
          <w:lang w:val="it-IT"/>
        </w:rPr>
        <w:t>#</w:t>
      </w:r>
      <w:r>
        <w:rPr>
          <w:bCs/>
          <w:sz w:val="20"/>
          <w:szCs w:val="20"/>
          <w:lang w:val="it-IT"/>
        </w:rPr>
        <w:t>1</w:t>
      </w:r>
      <w:r w:rsidR="004F04E6">
        <w:rPr>
          <w:bCs/>
          <w:sz w:val="20"/>
          <w:szCs w:val="20"/>
          <w:lang w:val="it-IT"/>
        </w:rPr>
        <w:t>10</w:t>
      </w:r>
      <w:r w:rsidRPr="00FA0873">
        <w:rPr>
          <w:bCs/>
          <w:sz w:val="20"/>
          <w:szCs w:val="20"/>
          <w:lang w:val="it-IT"/>
        </w:rPr>
        <w:tab/>
      </w:r>
      <w:r w:rsidR="004F04E6">
        <w:rPr>
          <w:bCs/>
          <w:sz w:val="20"/>
          <w:szCs w:val="20"/>
          <w:lang w:val="it-IT"/>
        </w:rPr>
        <w:t>August 22nd</w:t>
      </w:r>
      <w:r w:rsidR="00D83638">
        <w:rPr>
          <w:bCs/>
          <w:sz w:val="20"/>
          <w:szCs w:val="20"/>
          <w:lang w:val="it-IT"/>
        </w:rPr>
        <w:t xml:space="preserve"> –</w:t>
      </w:r>
      <w:r w:rsidR="004F04E6">
        <w:rPr>
          <w:bCs/>
          <w:sz w:val="20"/>
          <w:szCs w:val="20"/>
          <w:lang w:val="it-IT"/>
        </w:rPr>
        <w:t>26</w:t>
      </w:r>
      <w:r w:rsidR="00D83638">
        <w:rPr>
          <w:bCs/>
          <w:sz w:val="20"/>
          <w:szCs w:val="20"/>
          <w:lang w:val="it-IT"/>
        </w:rPr>
        <w:t>th</w:t>
      </w:r>
      <w:r w:rsidR="004F04E6">
        <w:rPr>
          <w:bCs/>
          <w:sz w:val="20"/>
          <w:szCs w:val="20"/>
          <w:lang w:val="it-IT"/>
        </w:rPr>
        <w:t>, 2022</w:t>
      </w:r>
      <w:r w:rsidRPr="00FA0873">
        <w:rPr>
          <w:bCs/>
          <w:sz w:val="20"/>
          <w:szCs w:val="20"/>
          <w:lang w:val="it-IT"/>
        </w:rPr>
        <w:tab/>
      </w:r>
      <w:r w:rsidR="004F04E6">
        <w:rPr>
          <w:bCs/>
          <w:sz w:val="20"/>
          <w:szCs w:val="20"/>
          <w:lang w:val="it-IT"/>
        </w:rPr>
        <w:t>Toulouse, FR</w:t>
      </w:r>
    </w:p>
    <w:p w:rsidR="00AB141F" w:rsidRPr="00FA0873" w:rsidRDefault="00AB141F">
      <w:pPr>
        <w:rPr>
          <w:sz w:val="20"/>
          <w:szCs w:val="20"/>
        </w:rPr>
      </w:pPr>
    </w:p>
    <w:sectPr w:rsidR="00AB141F" w:rsidRPr="00FA087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52047"/>
    <w:multiLevelType w:val="multilevel"/>
    <w:tmpl w:val="A99C343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1B4D1FC4"/>
    <w:multiLevelType w:val="multilevel"/>
    <w:tmpl w:val="CB3071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22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4044"/>
    <w:rsid w:val="001462CC"/>
    <w:rsid w:val="00305394"/>
    <w:rsid w:val="003928A3"/>
    <w:rsid w:val="003F1475"/>
    <w:rsid w:val="004F04E6"/>
    <w:rsid w:val="00674044"/>
    <w:rsid w:val="007F41EC"/>
    <w:rsid w:val="008714A2"/>
    <w:rsid w:val="008D7BFC"/>
    <w:rsid w:val="00961DE7"/>
    <w:rsid w:val="009D3D42"/>
    <w:rsid w:val="009E70B9"/>
    <w:rsid w:val="00AB141F"/>
    <w:rsid w:val="00C8116A"/>
    <w:rsid w:val="00D73CD1"/>
    <w:rsid w:val="00D83638"/>
    <w:rsid w:val="00DF47F6"/>
    <w:rsid w:val="00F06915"/>
    <w:rsid w:val="00FA08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51A440"/>
  <w15:chartTrackingRefBased/>
  <w15:docId w15:val="{FD718381-00AD-4D80-A399-ADD6E519D8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462CC"/>
    <w:pPr>
      <w:spacing w:after="0" w:line="240" w:lineRule="auto"/>
    </w:pPr>
    <w:rPr>
      <w:rFonts w:ascii="Times New Roman" w:eastAsia="Malgun Gothic" w:hAnsi="Times New Roman" w:cs="Times New Roman"/>
      <w:sz w:val="24"/>
      <w:szCs w:val="24"/>
      <w:lang w:eastAsia="ko-KR"/>
    </w:rPr>
  </w:style>
  <w:style w:type="paragraph" w:styleId="Heading1">
    <w:name w:val="heading 1"/>
    <w:aliases w:val="H1,h1,Heading 1 3GPP"/>
    <w:next w:val="Normal"/>
    <w:link w:val="Heading1Char"/>
    <w:qFormat/>
    <w:rsid w:val="001462CC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Times New Roman" w:eastAsia="Malgun Gothic" w:hAnsi="Times New Roman" w:cs="Times New Roman"/>
      <w:sz w:val="36"/>
      <w:szCs w:val="36"/>
      <w:lang w:eastAsia="zh-CN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1462C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Heading 3 3GPP"/>
    <w:basedOn w:val="Heading2"/>
    <w:next w:val="Normal"/>
    <w:link w:val="Heading3Char"/>
    <w:qFormat/>
    <w:rsid w:val="001462CC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1462CC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1462CC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1462CC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1462CC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1462CC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462CC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1462CC"/>
    <w:rPr>
      <w:rFonts w:ascii="Times New Roman" w:eastAsia="Malgun Gothic" w:hAnsi="Times New Roman" w:cs="Times New Roman"/>
      <w:sz w:val="36"/>
      <w:szCs w:val="36"/>
      <w:lang w:eastAsia="zh-CN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1462CC"/>
    <w:rPr>
      <w:rFonts w:ascii="Times New Roman" w:eastAsia="Malgun Gothic" w:hAnsi="Times New Roman" w:cs="Times New Roman"/>
      <w:sz w:val="32"/>
      <w:szCs w:val="32"/>
      <w:lang w:eastAsia="zh-CN"/>
    </w:rPr>
  </w:style>
  <w:style w:type="character" w:customStyle="1" w:styleId="Heading3Char">
    <w:name w:val="Heading 3 Char"/>
    <w:aliases w:val="Heading 3 3GPP Char"/>
    <w:basedOn w:val="DefaultParagraphFont"/>
    <w:link w:val="Heading3"/>
    <w:rsid w:val="001462CC"/>
    <w:rPr>
      <w:rFonts w:ascii="Times New Roman" w:eastAsia="Malgun Gothic" w:hAnsi="Times New Roman" w:cs="Times New Roman"/>
      <w:sz w:val="28"/>
      <w:szCs w:val="28"/>
      <w:lang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1462CC"/>
    <w:rPr>
      <w:rFonts w:ascii="Times New Roman" w:eastAsia="Malgun Gothic" w:hAnsi="Times New Roman" w:cs="Times New Roman"/>
      <w:sz w:val="24"/>
      <w:szCs w:val="24"/>
      <w:lang w:eastAsia="zh-CN"/>
    </w:rPr>
  </w:style>
  <w:style w:type="character" w:customStyle="1" w:styleId="Heading5Char">
    <w:name w:val="Heading 5 Char"/>
    <w:basedOn w:val="DefaultParagraphFont"/>
    <w:link w:val="Heading5"/>
    <w:rsid w:val="001462CC"/>
    <w:rPr>
      <w:rFonts w:ascii="Times New Roman" w:eastAsia="Malgun Gothic" w:hAnsi="Times New Roman" w:cs="Times New Roman"/>
      <w:lang w:eastAsia="zh-CN"/>
    </w:rPr>
  </w:style>
  <w:style w:type="character" w:customStyle="1" w:styleId="Heading6Char">
    <w:name w:val="Heading 6 Char"/>
    <w:basedOn w:val="DefaultParagraphFont"/>
    <w:link w:val="Heading6"/>
    <w:rsid w:val="001462CC"/>
    <w:rPr>
      <w:rFonts w:ascii="Times New Roman" w:eastAsia="Malgun Gothic" w:hAnsi="Times New Roman" w:cs="Arial"/>
      <w:sz w:val="24"/>
      <w:szCs w:val="24"/>
      <w:lang w:eastAsia="ko-KR"/>
    </w:rPr>
  </w:style>
  <w:style w:type="character" w:customStyle="1" w:styleId="Heading7Char">
    <w:name w:val="Heading 7 Char"/>
    <w:basedOn w:val="DefaultParagraphFont"/>
    <w:link w:val="Heading7"/>
    <w:rsid w:val="001462CC"/>
    <w:rPr>
      <w:rFonts w:ascii="Times New Roman" w:eastAsia="Malgun Gothic" w:hAnsi="Times New Roman" w:cs="Arial"/>
      <w:sz w:val="24"/>
      <w:szCs w:val="24"/>
      <w:lang w:eastAsia="ko-KR"/>
    </w:rPr>
  </w:style>
  <w:style w:type="character" w:customStyle="1" w:styleId="Heading8Char">
    <w:name w:val="Heading 8 Char"/>
    <w:basedOn w:val="DefaultParagraphFont"/>
    <w:link w:val="Heading8"/>
    <w:rsid w:val="001462CC"/>
    <w:rPr>
      <w:rFonts w:ascii="Times New Roman" w:eastAsia="Malgun Gothic" w:hAnsi="Times New Roman" w:cs="Arial"/>
      <w:sz w:val="24"/>
      <w:szCs w:val="24"/>
      <w:lang w:eastAsia="ko-KR"/>
    </w:rPr>
  </w:style>
  <w:style w:type="character" w:customStyle="1" w:styleId="Heading9Char">
    <w:name w:val="Heading 9 Char"/>
    <w:basedOn w:val="DefaultParagraphFont"/>
    <w:link w:val="Heading9"/>
    <w:rsid w:val="001462CC"/>
    <w:rPr>
      <w:rFonts w:ascii="Times New Roman" w:eastAsia="Malgun Gothic" w:hAnsi="Times New Roman" w:cs="Arial"/>
      <w:sz w:val="24"/>
      <w:szCs w:val="24"/>
      <w:lang w:eastAsia="ko-KR"/>
    </w:rPr>
  </w:style>
  <w:style w:type="paragraph" w:customStyle="1" w:styleId="CRCoverPage">
    <w:name w:val="CR Cover Page"/>
    <w:link w:val="CRCoverPageZchn"/>
    <w:qFormat/>
    <w:rsid w:val="001462CC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qFormat/>
    <w:rsid w:val="001462CC"/>
    <w:rPr>
      <w:rFonts w:ascii="Arial" w:eastAsia="Malgun Gothic" w:hAnsi="Arial" w:cs="Times New Roman"/>
      <w:sz w:val="20"/>
      <w:szCs w:val="20"/>
      <w:lang w:val="en-GB"/>
    </w:rPr>
  </w:style>
  <w:style w:type="paragraph" w:customStyle="1" w:styleId="DECISION">
    <w:name w:val="DECISION"/>
    <w:basedOn w:val="Normal"/>
    <w:rsid w:val="00FA0873"/>
    <w:pPr>
      <w:widowControl w:val="0"/>
      <w:numPr>
        <w:numId w:val="2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DengXian" w:hAnsi="Arial"/>
      <w:b/>
      <w:color w:val="0000FF"/>
      <w:sz w:val="20"/>
      <w:szCs w:val="20"/>
      <w:u w:val="single"/>
      <w:lang w:val="en-GB" w:eastAsia="en-US"/>
    </w:rPr>
  </w:style>
  <w:style w:type="paragraph" w:customStyle="1" w:styleId="00BodyText">
    <w:name w:val="00 BodyText"/>
    <w:basedOn w:val="Normal"/>
    <w:rsid w:val="008D7BFC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eastAsia="DengXian" w:hAnsi="Arial"/>
      <w:sz w:val="22"/>
      <w:szCs w:val="20"/>
      <w:lang w:eastAsia="en-US"/>
    </w:rPr>
  </w:style>
  <w:style w:type="paragraph" w:styleId="NormalWeb">
    <w:name w:val="Normal (Web)"/>
    <w:basedOn w:val="Normal"/>
    <w:uiPriority w:val="99"/>
    <w:unhideWhenUsed/>
    <w:rsid w:val="008D7BFC"/>
    <w:pPr>
      <w:spacing w:before="100" w:beforeAutospacing="1" w:after="100" w:afterAutospacing="1"/>
    </w:pPr>
    <w:rPr>
      <w:rFonts w:eastAsia="SimSun"/>
      <w:lang w:val="da-DK" w:eastAsia="da-DK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F47F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47F6"/>
    <w:rPr>
      <w:rFonts w:ascii="Segoe UI" w:eastAsia="Malgun Gothic" w:hAnsi="Segoe UI" w:cs="Segoe UI"/>
      <w:sz w:val="18"/>
      <w:szCs w:val="18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2</Pages>
  <Words>202</Words>
  <Characters>1157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Samsung Research America Inc</Company>
  <LinksUpToDate>false</LinksUpToDate>
  <CharactersWithSpaces>1357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Emad</dc:creator>
  <cp:keywords/>
  <dc:description/>
  <cp:lastModifiedBy>Emad</cp:lastModifiedBy>
  <cp:revision>15</cp:revision>
  <dcterms:created xsi:type="dcterms:W3CDTF">2021-07-28T17:28:00Z</dcterms:created>
  <dcterms:modified xsi:type="dcterms:W3CDTF">2022-02-13T18:35:00Z</dcterms:modified>
</cp:coreProperties>
</file>